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8"/>
        <w:gridCol w:w="900"/>
        <w:gridCol w:w="3510"/>
        <w:gridCol w:w="900"/>
        <w:gridCol w:w="4110"/>
        <w:gridCol w:w="2040"/>
      </w:tblGrid>
      <w:tr w:rsidR="00D43C7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6F1DB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6"/>
                <w:szCs w:val="36"/>
              </w:rPr>
              <w:t>國立臺灣海洋大學師資培育中心</w:t>
            </w:r>
          </w:p>
          <w:p w:rsidR="00D43C78" w:rsidRDefault="006F1DB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專門科目抵免單</w:t>
            </w:r>
          </w:p>
          <w:p w:rsidR="00D43C78" w:rsidRDefault="006F1DB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師資類科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lang w:eastAsia="zh-HK"/>
              </w:rPr>
              <w:t>國民小學師資類科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lang w:eastAsia="zh-HK"/>
              </w:rPr>
              <w:t>中等學校師資類科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認證科別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  <w:u w:val="single"/>
              </w:rPr>
              <w:t xml:space="preserve">                  </w:t>
            </w:r>
          </w:p>
          <w:tbl>
            <w:tblPr>
              <w:tblW w:w="151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32"/>
              <w:gridCol w:w="2533"/>
              <w:gridCol w:w="2533"/>
              <w:gridCol w:w="2533"/>
              <w:gridCol w:w="2533"/>
              <w:gridCol w:w="2533"/>
            </w:tblGrid>
            <w:tr w:rsidR="00D43C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3C78" w:rsidRDefault="006F1DB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申請人姓名</w:t>
                  </w:r>
                  <w:r>
                    <w:rPr>
                      <w:rFonts w:ascii="標楷體" w:eastAsia="標楷體" w:hAnsi="標楷體"/>
                    </w:rPr>
                    <w:t>:</w:t>
                  </w:r>
                </w:p>
              </w:tc>
              <w:tc>
                <w:tcPr>
                  <w:tcW w:w="25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3C78" w:rsidRDefault="006F1DB8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連絡電話</w:t>
                  </w:r>
                  <w:r>
                    <w:rPr>
                      <w:rFonts w:ascii="標楷體" w:eastAsia="標楷體" w:hAnsi="標楷體"/>
                    </w:rPr>
                    <w:t>:</w:t>
                  </w:r>
                </w:p>
              </w:tc>
              <w:tc>
                <w:tcPr>
                  <w:tcW w:w="25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3C78" w:rsidRDefault="00D43C7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3C78" w:rsidRDefault="006F1DB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系所</w:t>
                  </w: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/>
                    </w:rPr>
                    <w:t>學校</w:t>
                  </w:r>
                  <w:r>
                    <w:rPr>
                      <w:rFonts w:ascii="標楷體" w:eastAsia="標楷體" w:hAnsi="標楷體"/>
                    </w:rPr>
                    <w:t>):</w:t>
                  </w:r>
                </w:p>
              </w:tc>
              <w:tc>
                <w:tcPr>
                  <w:tcW w:w="25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3C78" w:rsidRDefault="00D43C7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3C78" w:rsidRDefault="006F1DB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日期</w:t>
                  </w:r>
                  <w:r>
                    <w:rPr>
                      <w:rFonts w:ascii="標楷體" w:eastAsia="標楷體" w:hAnsi="標楷體"/>
                    </w:rPr>
                    <w:t>:</w:t>
                  </w:r>
                </w:p>
              </w:tc>
            </w:tr>
          </w:tbl>
          <w:p w:rsidR="00D43C78" w:rsidRDefault="00D43C78">
            <w:pPr>
              <w:rPr>
                <w:rFonts w:ascii="標楷體" w:eastAsia="標楷體" w:hAnsi="標楷體"/>
              </w:rPr>
            </w:pPr>
          </w:p>
        </w:tc>
      </w:tr>
      <w:tr w:rsidR="00D43C78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C78" w:rsidRDefault="006F1D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對照表規定應修學分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C78" w:rsidRDefault="006F1D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原校己修學分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C78" w:rsidRDefault="006F1DB8">
            <w:pPr>
              <w:jc w:val="center"/>
            </w:pPr>
            <w:r>
              <w:rPr>
                <w:rFonts w:ascii="標楷體" w:eastAsia="標楷體" w:hAnsi="標楷體"/>
                <w:kern w:val="0"/>
              </w:rPr>
              <w:t>審核單位</w:t>
            </w:r>
          </w:p>
        </w:tc>
      </w:tr>
      <w:tr w:rsidR="00D43C78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6F1D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C78" w:rsidRDefault="006F1D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C78" w:rsidRDefault="006F1D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C78" w:rsidRDefault="006F1D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C78" w:rsidRDefault="006F1D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審核意見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C78" w:rsidRDefault="006F1D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D43C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6F1DB8">
            <w:pPr>
              <w:numPr>
                <w:ilvl w:val="0"/>
                <w:numId w:val="1"/>
              </w:numPr>
              <w:tabs>
                <w:tab w:val="left" w:pos="501"/>
              </w:tabs>
              <w:spacing w:line="276" w:lineRule="auto"/>
              <w:ind w:left="357" w:hanging="357"/>
            </w:pPr>
            <w:r>
              <w:rPr>
                <w:rFonts w:ascii="標楷體" w:eastAsia="標楷體" w:hAnsi="標楷體"/>
              </w:rPr>
              <w:t>准予抵免</w:t>
            </w:r>
            <w:r>
              <w:rPr>
                <w:rFonts w:ascii="標楷體" w:eastAsia="標楷體" w:hAnsi="標楷體"/>
              </w:rPr>
              <w:t xml:space="preserve"> ____ 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不予抵免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D43C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6F1DB8">
            <w:pPr>
              <w:numPr>
                <w:ilvl w:val="0"/>
                <w:numId w:val="1"/>
              </w:numPr>
              <w:tabs>
                <w:tab w:val="left" w:pos="501"/>
              </w:tabs>
              <w:spacing w:line="276" w:lineRule="auto"/>
              <w:ind w:left="357" w:hanging="357"/>
            </w:pPr>
            <w:r>
              <w:rPr>
                <w:rFonts w:ascii="標楷體" w:eastAsia="標楷體" w:hAnsi="標楷體"/>
              </w:rPr>
              <w:t>准予抵免</w:t>
            </w:r>
            <w:r>
              <w:rPr>
                <w:rFonts w:ascii="標楷體" w:eastAsia="標楷體" w:hAnsi="標楷體"/>
              </w:rPr>
              <w:t xml:space="preserve"> ____ 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不予抵免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D43C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6F1DB8">
            <w:pPr>
              <w:numPr>
                <w:ilvl w:val="0"/>
                <w:numId w:val="1"/>
              </w:numPr>
              <w:tabs>
                <w:tab w:val="left" w:pos="501"/>
              </w:tabs>
              <w:spacing w:line="276" w:lineRule="auto"/>
              <w:ind w:left="357" w:hanging="357"/>
            </w:pPr>
            <w:r>
              <w:rPr>
                <w:rFonts w:ascii="標楷體" w:eastAsia="標楷體" w:hAnsi="標楷體"/>
              </w:rPr>
              <w:t>准予抵免</w:t>
            </w:r>
            <w:r>
              <w:rPr>
                <w:rFonts w:ascii="標楷體" w:eastAsia="標楷體" w:hAnsi="標楷體"/>
              </w:rPr>
              <w:t xml:space="preserve"> ____ 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不予抵免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D43C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6F1DB8">
            <w:pPr>
              <w:numPr>
                <w:ilvl w:val="0"/>
                <w:numId w:val="1"/>
              </w:numPr>
              <w:tabs>
                <w:tab w:val="left" w:pos="501"/>
              </w:tabs>
              <w:spacing w:line="276" w:lineRule="auto"/>
              <w:ind w:left="357" w:hanging="357"/>
            </w:pPr>
            <w:r>
              <w:rPr>
                <w:rFonts w:ascii="標楷體" w:eastAsia="標楷體" w:hAnsi="標楷體"/>
              </w:rPr>
              <w:t>准予抵免</w:t>
            </w:r>
            <w:r>
              <w:rPr>
                <w:rFonts w:ascii="標楷體" w:eastAsia="標楷體" w:hAnsi="標楷體"/>
              </w:rPr>
              <w:t xml:space="preserve"> ____ 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不予抵免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D43C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6F1DB8">
            <w:pPr>
              <w:numPr>
                <w:ilvl w:val="0"/>
                <w:numId w:val="1"/>
              </w:numPr>
              <w:tabs>
                <w:tab w:val="left" w:pos="501"/>
              </w:tabs>
              <w:spacing w:line="276" w:lineRule="auto"/>
              <w:ind w:left="357" w:hanging="357"/>
            </w:pPr>
            <w:r>
              <w:rPr>
                <w:rFonts w:ascii="標楷體" w:eastAsia="標楷體" w:hAnsi="標楷體"/>
              </w:rPr>
              <w:t>准予抵免</w:t>
            </w:r>
            <w:r>
              <w:rPr>
                <w:rFonts w:ascii="標楷體" w:eastAsia="標楷體" w:hAnsi="標楷體"/>
              </w:rPr>
              <w:t xml:space="preserve"> ____ 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不予抵免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D43C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6F1DB8">
            <w:pPr>
              <w:numPr>
                <w:ilvl w:val="0"/>
                <w:numId w:val="1"/>
              </w:numPr>
              <w:tabs>
                <w:tab w:val="left" w:pos="501"/>
              </w:tabs>
              <w:spacing w:line="276" w:lineRule="auto"/>
              <w:ind w:left="357" w:hanging="357"/>
            </w:pPr>
            <w:r>
              <w:rPr>
                <w:rFonts w:ascii="標楷體" w:eastAsia="標楷體" w:hAnsi="標楷體"/>
              </w:rPr>
              <w:t>准予抵免</w:t>
            </w:r>
            <w:r>
              <w:rPr>
                <w:rFonts w:ascii="標楷體" w:eastAsia="標楷體" w:hAnsi="標楷體"/>
              </w:rPr>
              <w:t xml:space="preserve"> ____ 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不予抵免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D43C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6F1DB8">
            <w:pPr>
              <w:numPr>
                <w:ilvl w:val="0"/>
                <w:numId w:val="1"/>
              </w:numPr>
              <w:tabs>
                <w:tab w:val="left" w:pos="501"/>
              </w:tabs>
              <w:spacing w:line="276" w:lineRule="auto"/>
              <w:ind w:left="357" w:hanging="357"/>
            </w:pPr>
            <w:r>
              <w:rPr>
                <w:rFonts w:ascii="標楷體" w:eastAsia="標楷體" w:hAnsi="標楷體"/>
              </w:rPr>
              <w:t>准予抵免</w:t>
            </w:r>
            <w:r>
              <w:rPr>
                <w:rFonts w:ascii="標楷體" w:eastAsia="標楷體" w:hAnsi="標楷體"/>
              </w:rPr>
              <w:t xml:space="preserve"> ____ 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不予抵免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C78" w:rsidRDefault="00D43C78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:rsidR="00D43C78" w:rsidRDefault="006F1DB8">
      <w:pPr>
        <w:snapToGrid w:val="0"/>
        <w:spacing w:line="100" w:lineRule="atLeast"/>
        <w:ind w:left="240" w:hanging="240"/>
        <w:rPr>
          <w:rFonts w:ascii="標楷體" w:eastAsia="標楷體" w:hAnsi="標楷體"/>
          <w:b/>
          <w:sz w:val="18"/>
          <w:szCs w:val="18"/>
        </w:rPr>
      </w:pPr>
      <w:r>
        <w:rPr>
          <w:rFonts w:ascii="標楷體" w:eastAsia="標楷體" w:hAnsi="標楷體"/>
          <w:b/>
          <w:sz w:val="18"/>
          <w:szCs w:val="18"/>
        </w:rPr>
        <w:t>如欄位不敷使用，請自行增加欄位</w:t>
      </w:r>
    </w:p>
    <w:p w:rsidR="00D43C78" w:rsidRDefault="006F1DB8">
      <w:pPr>
        <w:snapToGrid w:val="0"/>
        <w:spacing w:line="100" w:lineRule="atLeast"/>
        <w:ind w:left="319" w:hanging="319"/>
      </w:pPr>
      <w:r>
        <w:rPr>
          <w:rFonts w:ascii="標楷體" w:eastAsia="標楷體" w:hAnsi="標楷體"/>
        </w:rPr>
        <w:t>師資培育中心核章：</w:t>
      </w:r>
      <w:r>
        <w:rPr>
          <w:rFonts w:ascii="標楷體" w:eastAsia="標楷體" w:hAnsi="標楷體"/>
        </w:rPr>
        <w:t xml:space="preserve">                                               </w:t>
      </w:r>
      <w:r>
        <w:rPr>
          <w:rFonts w:eastAsia="標楷體"/>
        </w:rPr>
        <w:t>召集系所主任核章：</w:t>
      </w:r>
    </w:p>
    <w:p w:rsidR="00D43C78" w:rsidRDefault="00D43C78">
      <w:pPr>
        <w:snapToGrid w:val="0"/>
        <w:spacing w:line="100" w:lineRule="atLeast"/>
        <w:ind w:left="319" w:hanging="319"/>
        <w:rPr>
          <w:rFonts w:eastAsia="標楷體"/>
        </w:rPr>
      </w:pPr>
    </w:p>
    <w:p w:rsidR="00D43C78" w:rsidRDefault="006F1DB8">
      <w:pPr>
        <w:snapToGrid w:val="0"/>
        <w:spacing w:line="240" w:lineRule="exact"/>
        <w:ind w:left="266" w:hanging="266"/>
      </w:pPr>
      <w:r>
        <w:rPr>
          <w:rFonts w:eastAsia="標楷體"/>
          <w:sz w:val="20"/>
          <w:szCs w:val="20"/>
        </w:rPr>
        <w:t>備</w:t>
      </w:r>
      <w:r>
        <w:rPr>
          <w:rFonts w:ascii="標楷體" w:eastAsia="標楷體" w:hAnsi="標楷體"/>
          <w:sz w:val="20"/>
          <w:szCs w:val="20"/>
        </w:rPr>
        <w:t>註：</w:t>
      </w:r>
    </w:p>
    <w:p w:rsidR="00D43C78" w:rsidRDefault="006F1DB8">
      <w:pPr>
        <w:snapToGrid w:val="0"/>
        <w:spacing w:line="240" w:lineRule="exact"/>
        <w:ind w:left="263" w:hanging="66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一、須請召集系所辦理認定之情形如下：</w:t>
      </w:r>
    </w:p>
    <w:p w:rsidR="00D43C78" w:rsidRDefault="006F1DB8">
      <w:pPr>
        <w:snapToGrid w:val="0"/>
        <w:spacing w:line="240" w:lineRule="exact"/>
        <w:ind w:left="360"/>
      </w:pPr>
      <w:r>
        <w:rPr>
          <w:rFonts w:ascii="標楷體" w:eastAsia="標楷體" w:hAnsi="標楷體"/>
          <w:color w:val="000000"/>
          <w:sz w:val="20"/>
          <w:szCs w:val="20"/>
        </w:rPr>
        <w:t>（一）</w:t>
      </w:r>
      <w:r>
        <w:rPr>
          <w:rFonts w:ascii="標楷體" w:eastAsia="標楷體" w:hAnsi="標楷體"/>
          <w:color w:val="000000"/>
          <w:sz w:val="20"/>
          <w:szCs w:val="20"/>
          <w:lang w:eastAsia="zh-HK"/>
        </w:rPr>
        <w:t>中等學校師資類科</w:t>
      </w:r>
      <w:r>
        <w:rPr>
          <w:rFonts w:ascii="標楷體" w:eastAsia="標楷體" w:hAnsi="標楷體"/>
          <w:color w:val="000000"/>
          <w:sz w:val="20"/>
          <w:szCs w:val="20"/>
        </w:rPr>
        <w:t>:</w:t>
      </w:r>
    </w:p>
    <w:p w:rsidR="00D43C78" w:rsidRDefault="006F1DB8">
      <w:pPr>
        <w:snapToGrid w:val="0"/>
        <w:spacing w:line="240" w:lineRule="exact"/>
        <w:ind w:left="709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1.</w:t>
      </w:r>
      <w:r>
        <w:rPr>
          <w:rFonts w:ascii="標楷體" w:eastAsia="標楷體" w:hAnsi="標楷體"/>
          <w:color w:val="000000"/>
          <w:sz w:val="20"/>
          <w:szCs w:val="20"/>
        </w:rPr>
        <w:t>科目為海洋大學成績，其科目名稱與專門科目對照表不同或修課時間超過</w:t>
      </w:r>
      <w:r>
        <w:rPr>
          <w:rFonts w:ascii="標楷體" w:eastAsia="標楷體" w:hAnsi="標楷體"/>
          <w:color w:val="000000"/>
          <w:sz w:val="20"/>
          <w:szCs w:val="20"/>
        </w:rPr>
        <w:t>10</w:t>
      </w:r>
      <w:r>
        <w:rPr>
          <w:rFonts w:ascii="標楷體" w:eastAsia="標楷體" w:hAnsi="標楷體"/>
          <w:color w:val="000000"/>
          <w:sz w:val="20"/>
          <w:szCs w:val="20"/>
        </w:rPr>
        <w:t>年。（</w:t>
      </w:r>
      <w:r>
        <w:rPr>
          <w:rFonts w:ascii="標楷體" w:eastAsia="標楷體" w:hAnsi="標楷體"/>
          <w:color w:val="000000"/>
          <w:sz w:val="20"/>
          <w:szCs w:val="20"/>
        </w:rPr>
        <w:t>2</w:t>
      </w:r>
      <w:r>
        <w:rPr>
          <w:rFonts w:ascii="標楷體" w:eastAsia="標楷體" w:hAnsi="標楷體"/>
          <w:color w:val="000000"/>
          <w:sz w:val="20"/>
          <w:szCs w:val="20"/>
        </w:rPr>
        <w:t>）科目非屬海洋大學成績，無論科目名稱是否相同。</w:t>
      </w:r>
      <w:r>
        <w:rPr>
          <w:rFonts w:ascii="標楷體" w:eastAsia="標楷體" w:hAnsi="標楷體"/>
          <w:color w:val="000000"/>
          <w:sz w:val="20"/>
          <w:szCs w:val="20"/>
        </w:rPr>
        <w:t xml:space="preserve"> </w:t>
      </w:r>
    </w:p>
    <w:p w:rsidR="00D43C78" w:rsidRDefault="006F1DB8">
      <w:pPr>
        <w:snapToGrid w:val="0"/>
        <w:spacing w:line="240" w:lineRule="exact"/>
        <w:ind w:left="709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2.</w:t>
      </w:r>
      <w:r>
        <w:rPr>
          <w:rFonts w:ascii="標楷體" w:eastAsia="標楷體" w:hAnsi="標楷體"/>
          <w:color w:val="000000"/>
          <w:sz w:val="20"/>
          <w:szCs w:val="20"/>
        </w:rPr>
        <w:t>依規定如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扺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免之科目學分數超過對照表規定之學分數者，則僅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採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認對照表所規定之學分數；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如抵免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之科目學分數少於對照表之規定時，則不予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採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認。</w:t>
      </w:r>
    </w:p>
    <w:p w:rsidR="00D43C78" w:rsidRDefault="006F1DB8">
      <w:pPr>
        <w:snapToGrid w:val="0"/>
        <w:spacing w:line="240" w:lineRule="exact"/>
        <w:ind w:left="850" w:hanging="142"/>
      </w:pPr>
      <w:r>
        <w:rPr>
          <w:rFonts w:ascii="標楷體" w:eastAsia="標楷體" w:hAnsi="標楷體"/>
          <w:color w:val="000000"/>
          <w:sz w:val="20"/>
          <w:szCs w:val="20"/>
        </w:rPr>
        <w:t>3.</w:t>
      </w:r>
      <w:r>
        <w:rPr>
          <w:rFonts w:ascii="標楷體" w:eastAsia="標楷體" w:hAnsi="標楷體"/>
          <w:color w:val="000000"/>
          <w:sz w:val="20"/>
          <w:szCs w:val="20"/>
        </w:rPr>
        <w:t>專門課程學分如有不足或缺少時，本校</w:t>
      </w:r>
      <w:r>
        <w:rPr>
          <w:rFonts w:ascii="標楷體" w:eastAsia="標楷體" w:hAnsi="標楷體" w:cs="標楷體"/>
          <w:color w:val="000000"/>
          <w:kern w:val="0"/>
          <w:sz w:val="20"/>
          <w:szCs w:val="20"/>
        </w:rPr>
        <w:t>修習教育學程課程學生</w:t>
      </w:r>
      <w:r>
        <w:rPr>
          <w:rFonts w:ascii="標楷體" w:eastAsia="標楷體" w:hAnsi="標楷體"/>
          <w:color w:val="000000"/>
          <w:sz w:val="20"/>
          <w:szCs w:val="20"/>
        </w:rPr>
        <w:t>可透過校內跨系或依據本校校際選課辦法跨校選讀補修學分</w:t>
      </w:r>
      <w:r>
        <w:rPr>
          <w:rFonts w:ascii="標楷體" w:eastAsia="標楷體" w:hAnsi="標楷體"/>
          <w:color w:val="000000"/>
          <w:sz w:val="20"/>
          <w:szCs w:val="20"/>
        </w:rPr>
        <w:t>;</w:t>
      </w:r>
      <w:r>
        <w:rPr>
          <w:rFonts w:ascii="標楷體" w:eastAsia="標楷體" w:hAnsi="標楷體"/>
          <w:color w:val="000000"/>
          <w:sz w:val="20"/>
          <w:szCs w:val="20"/>
        </w:rPr>
        <w:t>另具下列</w:t>
      </w:r>
      <w:r>
        <w:rPr>
          <w:rFonts w:ascii="標楷體" w:eastAsia="標楷體" w:hAnsi="標楷體"/>
          <w:color w:val="000000"/>
          <w:sz w:val="20"/>
          <w:szCs w:val="20"/>
        </w:rPr>
        <w:t>(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一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)(</w:t>
      </w:r>
      <w:r>
        <w:rPr>
          <w:rFonts w:ascii="標楷體" w:eastAsia="標楷體" w:hAnsi="標楷體"/>
          <w:color w:val="000000"/>
          <w:sz w:val="20"/>
          <w:szCs w:val="20"/>
        </w:rPr>
        <w:t>二</w:t>
      </w:r>
      <w:r>
        <w:rPr>
          <w:rFonts w:ascii="標楷體" w:eastAsia="標楷體" w:hAnsi="標楷體"/>
          <w:color w:val="000000"/>
          <w:sz w:val="20"/>
          <w:szCs w:val="20"/>
        </w:rPr>
        <w:t>)</w:t>
      </w:r>
      <w:r>
        <w:rPr>
          <w:rFonts w:ascii="標楷體" w:eastAsia="標楷體" w:hAnsi="標楷體"/>
          <w:color w:val="000000"/>
          <w:sz w:val="20"/>
          <w:szCs w:val="20"/>
        </w:rPr>
        <w:t>資格者，並經本校審認專門課程科目及學分不足者，得至本校或經本校同意之他校師資培育大學所開設之隨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班附讀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課程進行補修學分，並於</w:t>
      </w:r>
      <w:r>
        <w:rPr>
          <w:rFonts w:ascii="標楷體" w:eastAsia="標楷體" w:hAnsi="標楷體"/>
          <w:color w:val="000000"/>
          <w:sz w:val="20"/>
          <w:szCs w:val="20"/>
        </w:rPr>
        <w:t>3</w:t>
      </w:r>
      <w:r>
        <w:rPr>
          <w:rFonts w:ascii="標楷體" w:eastAsia="標楷體" w:hAnsi="標楷體"/>
          <w:color w:val="000000"/>
          <w:sz w:val="20"/>
          <w:szCs w:val="20"/>
        </w:rPr>
        <w:t>年內補修完畢：</w:t>
      </w:r>
    </w:p>
    <w:p w:rsidR="00D43C78" w:rsidRDefault="006F1DB8">
      <w:pPr>
        <w:spacing w:line="240" w:lineRule="exact"/>
        <w:ind w:left="852" w:hanging="2"/>
        <w:jc w:val="both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(1)</w:t>
      </w:r>
      <w:r>
        <w:rPr>
          <w:rFonts w:ascii="標楷體" w:eastAsia="標楷體" w:hAnsi="標楷體"/>
          <w:color w:val="000000"/>
          <w:sz w:val="20"/>
          <w:szCs w:val="20"/>
        </w:rPr>
        <w:t>已逾師資培育法第</w:t>
      </w:r>
      <w:r>
        <w:rPr>
          <w:rFonts w:ascii="標楷體" w:eastAsia="標楷體" w:hAnsi="標楷體"/>
          <w:color w:val="000000"/>
          <w:sz w:val="20"/>
          <w:szCs w:val="20"/>
        </w:rPr>
        <w:t>20</w:t>
      </w:r>
      <w:r>
        <w:rPr>
          <w:rFonts w:ascii="標楷體" w:eastAsia="標楷體" w:hAnsi="標楷體"/>
          <w:color w:val="000000"/>
          <w:sz w:val="20"/>
          <w:szCs w:val="20"/>
        </w:rPr>
        <w:t>條第</w:t>
      </w:r>
      <w:r>
        <w:rPr>
          <w:rFonts w:ascii="標楷體" w:eastAsia="標楷體" w:hAnsi="標楷體"/>
          <w:color w:val="000000"/>
          <w:sz w:val="20"/>
          <w:szCs w:val="20"/>
        </w:rPr>
        <w:t>1</w:t>
      </w:r>
      <w:r>
        <w:rPr>
          <w:rFonts w:ascii="標楷體" w:eastAsia="標楷體" w:hAnsi="標楷體"/>
          <w:color w:val="000000"/>
          <w:sz w:val="20"/>
          <w:szCs w:val="20"/>
        </w:rPr>
        <w:t>項及第</w:t>
      </w:r>
      <w:r>
        <w:rPr>
          <w:rFonts w:ascii="標楷體" w:eastAsia="標楷體" w:hAnsi="標楷體"/>
          <w:color w:val="000000"/>
          <w:sz w:val="20"/>
          <w:szCs w:val="20"/>
        </w:rPr>
        <w:t>2</w:t>
      </w:r>
      <w:r>
        <w:rPr>
          <w:rFonts w:ascii="標楷體" w:eastAsia="標楷體" w:hAnsi="標楷體"/>
          <w:color w:val="000000"/>
          <w:sz w:val="20"/>
          <w:szCs w:val="20"/>
        </w:rPr>
        <w:t>項規定之申請期限，並經本校重新審認專門課程後，其學分不足者。</w:t>
      </w:r>
    </w:p>
    <w:p w:rsidR="00D43C78" w:rsidRDefault="006F1DB8">
      <w:pPr>
        <w:spacing w:line="240" w:lineRule="exact"/>
        <w:ind w:left="852" w:hanging="2"/>
        <w:jc w:val="both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(2)</w:t>
      </w:r>
      <w:r>
        <w:rPr>
          <w:rFonts w:ascii="標楷體" w:eastAsia="標楷體" w:hAnsi="標楷體"/>
          <w:color w:val="000000"/>
          <w:sz w:val="20"/>
          <w:szCs w:val="20"/>
        </w:rPr>
        <w:t>已具中等學校合格教師證書，經本校認定第二專長之專門課程學分不足者。</w:t>
      </w:r>
    </w:p>
    <w:p w:rsidR="00D43C78" w:rsidRDefault="006F1DB8">
      <w:pPr>
        <w:spacing w:line="240" w:lineRule="exact"/>
        <w:ind w:left="629" w:firstLine="222"/>
        <w:jc w:val="both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前項專門課程之認定，申請者應以申請認定年度本校報經教育部核定之專門課程為依據。</w:t>
      </w:r>
    </w:p>
    <w:p w:rsidR="00D43C78" w:rsidRDefault="006F1DB8">
      <w:pPr>
        <w:snapToGrid w:val="0"/>
        <w:spacing w:line="240" w:lineRule="exact"/>
        <w:ind w:left="850" w:hanging="142"/>
      </w:pPr>
      <w:r>
        <w:rPr>
          <w:rFonts w:ascii="標楷體" w:eastAsia="標楷體" w:hAnsi="標楷體"/>
          <w:color w:val="000000"/>
          <w:sz w:val="20"/>
          <w:szCs w:val="20"/>
        </w:rPr>
        <w:t>4.</w:t>
      </w:r>
      <w:r>
        <w:rPr>
          <w:rFonts w:ascii="標楷體" w:eastAsia="標楷體" w:hAnsi="標楷體"/>
          <w:color w:val="000000"/>
          <w:sz w:val="20"/>
          <w:szCs w:val="20"/>
        </w:rPr>
        <w:t>學士後學士學位學程課程不得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採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認為專門科目學分數</w:t>
      </w:r>
      <w:r>
        <w:rPr>
          <w:rFonts w:ascii="細明體" w:eastAsia="細明體" w:hAnsi="細明體"/>
          <w:color w:val="000000"/>
          <w:sz w:val="20"/>
          <w:szCs w:val="20"/>
        </w:rPr>
        <w:t>。</w:t>
      </w:r>
    </w:p>
    <w:p w:rsidR="00D43C78" w:rsidRDefault="006F1DB8">
      <w:pPr>
        <w:snapToGrid w:val="0"/>
        <w:spacing w:line="240" w:lineRule="exact"/>
        <w:ind w:left="850" w:hanging="142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5.</w:t>
      </w:r>
      <w:r>
        <w:rPr>
          <w:rFonts w:ascii="標楷體" w:eastAsia="標楷體" w:hAnsi="標楷體"/>
          <w:color w:val="000000"/>
          <w:sz w:val="20"/>
          <w:szCs w:val="20"/>
        </w:rPr>
        <w:t>敬請檢附成績單正本及專門科目對照表，科目非本校成績，請檢附課程大綱。</w:t>
      </w:r>
    </w:p>
    <w:p w:rsidR="00D43C78" w:rsidRDefault="00D43C78">
      <w:pPr>
        <w:snapToGrid w:val="0"/>
        <w:spacing w:line="240" w:lineRule="exact"/>
        <w:ind w:left="360"/>
        <w:rPr>
          <w:rFonts w:ascii="標楷體" w:eastAsia="標楷體" w:hAnsi="標楷體"/>
          <w:color w:val="000000"/>
          <w:sz w:val="20"/>
          <w:szCs w:val="20"/>
        </w:rPr>
      </w:pPr>
    </w:p>
    <w:p w:rsidR="00D43C78" w:rsidRDefault="006F1DB8">
      <w:pPr>
        <w:snapToGrid w:val="0"/>
        <w:spacing w:line="100" w:lineRule="atLeast"/>
        <w:ind w:left="360"/>
      </w:pPr>
      <w:r>
        <w:rPr>
          <w:rFonts w:ascii="標楷體" w:eastAsia="標楷體" w:hAnsi="標楷體"/>
          <w:color w:val="000000"/>
          <w:sz w:val="20"/>
          <w:szCs w:val="20"/>
        </w:rPr>
        <w:t>(</w:t>
      </w:r>
      <w:r>
        <w:rPr>
          <w:rFonts w:ascii="標楷體" w:eastAsia="標楷體" w:hAnsi="標楷體"/>
          <w:color w:val="000000"/>
          <w:sz w:val="20"/>
          <w:szCs w:val="20"/>
        </w:rPr>
        <w:t>二</w:t>
      </w:r>
      <w:r>
        <w:rPr>
          <w:rFonts w:ascii="標楷體" w:eastAsia="標楷體" w:hAnsi="標楷體"/>
          <w:color w:val="000000"/>
          <w:sz w:val="20"/>
          <w:szCs w:val="20"/>
        </w:rPr>
        <w:t>)</w:t>
      </w:r>
      <w:r>
        <w:rPr>
          <w:rFonts w:ascii="標楷體" w:eastAsia="標楷體" w:hAnsi="標楷體"/>
          <w:color w:val="000000"/>
          <w:sz w:val="20"/>
          <w:szCs w:val="20"/>
          <w:lang w:eastAsia="zh-HK"/>
        </w:rPr>
        <w:t>國民小學師資類科</w:t>
      </w:r>
      <w:r>
        <w:rPr>
          <w:rFonts w:ascii="標楷體" w:eastAsia="標楷體" w:hAnsi="標楷體"/>
          <w:color w:val="000000"/>
          <w:sz w:val="20"/>
          <w:szCs w:val="20"/>
        </w:rPr>
        <w:t>:</w:t>
      </w:r>
      <w:r>
        <w:rPr>
          <w:rFonts w:ascii="標楷體" w:eastAsia="標楷體" w:hAnsi="標楷體"/>
          <w:color w:val="000000"/>
          <w:sz w:val="20"/>
          <w:szCs w:val="20"/>
          <w:lang w:eastAsia="zh-HK"/>
        </w:rPr>
        <w:t>依本校學生修習教育學程辦法規定應辦理</w:t>
      </w:r>
      <w:proofErr w:type="gramStart"/>
      <w:r>
        <w:rPr>
          <w:rFonts w:ascii="標楷體" w:eastAsia="標楷體" w:hAnsi="標楷體"/>
          <w:color w:val="000000"/>
          <w:sz w:val="20"/>
          <w:szCs w:val="20"/>
          <w:lang w:eastAsia="zh-HK"/>
        </w:rPr>
        <w:t>抵免者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。</w:t>
      </w:r>
    </w:p>
    <w:p w:rsidR="00D43C78" w:rsidRDefault="006F1DB8">
      <w:pPr>
        <w:snapToGrid w:val="0"/>
        <w:spacing w:line="240" w:lineRule="exact"/>
        <w:ind w:left="263" w:hanging="66"/>
      </w:pPr>
      <w:r>
        <w:rPr>
          <w:rFonts w:ascii="標楷體" w:eastAsia="標楷體" w:hAnsi="標楷體"/>
          <w:color w:val="000000"/>
          <w:sz w:val="20"/>
          <w:szCs w:val="20"/>
        </w:rPr>
        <w:t>二、本表填</w:t>
      </w:r>
      <w:r>
        <w:rPr>
          <w:rFonts w:ascii="標楷體" w:eastAsia="標楷體" w:hAnsi="標楷體"/>
          <w:color w:val="000000"/>
          <w:sz w:val="20"/>
          <w:szCs w:val="20"/>
        </w:rPr>
        <w:t>完後請送師資培育中心。</w:t>
      </w:r>
    </w:p>
    <w:sectPr w:rsidR="00D43C78">
      <w:footerReference w:type="default" r:id="rId7"/>
      <w:pgSz w:w="16840" w:h="11907" w:orient="landscape"/>
      <w:pgMar w:top="851" w:right="851" w:bottom="851" w:left="851" w:header="720" w:footer="668" w:gutter="0"/>
      <w:cols w:space="720"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B8" w:rsidRDefault="006F1DB8">
      <w:r>
        <w:separator/>
      </w:r>
    </w:p>
  </w:endnote>
  <w:endnote w:type="continuationSeparator" w:id="0">
    <w:p w:rsidR="006F1DB8" w:rsidRDefault="006F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05" w:rsidRDefault="006F1DB8">
    <w:pPr>
      <w:pStyle w:val="a5"/>
      <w:jc w:val="right"/>
    </w:pPr>
    <w:r>
      <w:t>108.10.15</w:t>
    </w:r>
    <w:r>
      <w:t>版本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B8" w:rsidRDefault="006F1DB8">
      <w:r>
        <w:rPr>
          <w:color w:val="000000"/>
        </w:rPr>
        <w:separator/>
      </w:r>
    </w:p>
  </w:footnote>
  <w:footnote w:type="continuationSeparator" w:id="0">
    <w:p w:rsidR="006F1DB8" w:rsidRDefault="006F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021E0"/>
    <w:multiLevelType w:val="multilevel"/>
    <w:tmpl w:val="B17A090C"/>
    <w:lvl w:ilvl="0">
      <w:numFmt w:val="bullet"/>
      <w:lvlText w:val="□"/>
      <w:lvlJc w:val="left"/>
      <w:pPr>
        <w:ind w:left="501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01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81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61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41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21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01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81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61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43C78"/>
    <w:rsid w:val="006F1DB8"/>
    <w:rsid w:val="008B2F93"/>
    <w:rsid w:val="00B6389A"/>
    <w:rsid w:val="00D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B394DF-B731-4688-8141-832E9A1D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國立臺灣海洋大學教育學程中心專門科目對照表學分認定表</dc:title>
  <dc:subject/>
  <dc:creator>piyu</dc:creator>
  <cp:lastModifiedBy>Piyu</cp:lastModifiedBy>
  <cp:revision>2</cp:revision>
  <cp:lastPrinted>2018-11-01T02:27:00Z</cp:lastPrinted>
  <dcterms:created xsi:type="dcterms:W3CDTF">2021-09-24T07:57:00Z</dcterms:created>
  <dcterms:modified xsi:type="dcterms:W3CDTF">2021-09-24T07:57:00Z</dcterms:modified>
</cp:coreProperties>
</file>